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DA6D" w14:textId="77777777" w:rsidR="00FA1757" w:rsidRPr="00926ECC" w:rsidRDefault="00FA1757" w:rsidP="00FA1757">
      <w:pPr>
        <w:rPr>
          <w:b/>
          <w:bCs/>
        </w:rPr>
      </w:pPr>
      <w:r w:rsidRPr="00926ECC">
        <w:rPr>
          <w:b/>
          <w:bCs/>
        </w:rPr>
        <w:t>Implementing Tobacco-Free Policies</w:t>
      </w:r>
    </w:p>
    <w:p w14:paraId="187060FD" w14:textId="77777777" w:rsidR="00FA1757" w:rsidRPr="00926ECC" w:rsidRDefault="00FA1757" w:rsidP="00FA1757">
      <w:pPr>
        <w:rPr>
          <w:b/>
          <w:bCs/>
        </w:rPr>
      </w:pPr>
      <w:r>
        <w:rPr>
          <w:b/>
          <w:bCs/>
        </w:rPr>
        <w:t>Help set those around you up for success – implement a comprehensive tobacco-free policy to help with tobacco control efforts.</w:t>
      </w:r>
    </w:p>
    <w:p w14:paraId="3923FDB5" w14:textId="77777777" w:rsidR="00FA1757" w:rsidRDefault="00FA1757" w:rsidP="001263C8"/>
    <w:p w14:paraId="179F9026" w14:textId="4639F976" w:rsidR="001263C8" w:rsidRPr="001263C8" w:rsidRDefault="001263C8" w:rsidP="001263C8">
      <w:r w:rsidRPr="001263C8">
        <w:t>The most impactful step an organization can take to prevent tobacco addiction among its attendees is to implement a comprehensive tobacco-free policy. When applied fairly and consistently, such a policy not only discourages tobacco use but also empowers individuals to make healthier choices.</w:t>
      </w:r>
    </w:p>
    <w:p w14:paraId="5F69B4FB" w14:textId="77777777" w:rsidR="001263C8" w:rsidRPr="001263C8" w:rsidRDefault="001263C8" w:rsidP="001263C8">
      <w:r w:rsidRPr="001263C8">
        <w:t>A truly comprehensive approach should go beyond treating commercial tobacco and vape use as disciplinary issues. Instead, it should be recognized as a serious, lifelong health and wellness concern—one that requires a coordinated response from the entire organization and the surrounding community. By adopting a comprehensive tobacco-free policy, your organization communicates a clear message: protecting health and addressing tobacco use are top priorities.</w:t>
      </w:r>
    </w:p>
    <w:p w14:paraId="7550DD58" w14:textId="77777777" w:rsidR="001263C8" w:rsidRPr="001263C8" w:rsidRDefault="001263C8" w:rsidP="001263C8">
      <w:r w:rsidRPr="001263C8">
        <w:t>Establishing community partnerships to support this effort doesn’t have to be difficult. Your organization may already have connections that can be leveraged. Potential community partners include:</w:t>
      </w:r>
    </w:p>
    <w:p w14:paraId="3A4862D8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Local public health departments</w:t>
      </w:r>
    </w:p>
    <w:p w14:paraId="0604C546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Schools and educational institutions</w:t>
      </w:r>
    </w:p>
    <w:p w14:paraId="0010C8E1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Healthcare providers and clinics</w:t>
      </w:r>
    </w:p>
    <w:p w14:paraId="1EF706EE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Youth organizations (e.g., Boys &amp; Girls Clubs, 4-H)</w:t>
      </w:r>
    </w:p>
    <w:p w14:paraId="05D18BDE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Faith-based groups</w:t>
      </w:r>
    </w:p>
    <w:p w14:paraId="52EF75A0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Coalitions focused on substance misuse prevention</w:t>
      </w:r>
    </w:p>
    <w:p w14:paraId="47805AE2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Local government and city councils</w:t>
      </w:r>
    </w:p>
    <w:p w14:paraId="222B6F30" w14:textId="77777777" w:rsidR="001263C8" w:rsidRPr="001263C8" w:rsidRDefault="001263C8" w:rsidP="001263C8">
      <w:pPr>
        <w:numPr>
          <w:ilvl w:val="0"/>
          <w:numId w:val="1"/>
        </w:numPr>
      </w:pPr>
      <w:r w:rsidRPr="001263C8">
        <w:t>Nonprofits focused on health equity and chronic disease prevention</w:t>
      </w:r>
    </w:p>
    <w:p w14:paraId="77554B2B" w14:textId="77777777" w:rsidR="001263C8" w:rsidRPr="001263C8" w:rsidRDefault="001263C8" w:rsidP="001263C8">
      <w:r w:rsidRPr="001263C8">
        <w:t>Collaborating with these groups can strengthen your tobacco-free efforts and ensure a sustainable, community-wide impact.</w:t>
      </w:r>
    </w:p>
    <w:p w14:paraId="62B9681C" w14:textId="77777777" w:rsidR="001263C8" w:rsidRDefault="001263C8"/>
    <w:p w14:paraId="080D7DFF" w14:textId="479080F1" w:rsidR="00A1750D" w:rsidRDefault="00A1750D" w:rsidP="00A1750D">
      <w:r>
        <w:t xml:space="preserve">View our </w:t>
      </w:r>
      <w:hyperlink r:id="rId5" w:history="1">
        <w:r w:rsidRPr="00DE43C5">
          <w:rPr>
            <w:rStyle w:val="Hyperlink"/>
          </w:rPr>
          <w:t>Policy Implementation Checklist</w:t>
        </w:r>
      </w:hyperlink>
      <w:r>
        <w:t xml:space="preserve"> to get an idea of where to begin! </w:t>
      </w:r>
    </w:p>
    <w:p w14:paraId="08A7493A" w14:textId="40CBCE0D" w:rsidR="00A1750D" w:rsidRDefault="00A1750D" w:rsidP="00A1750D">
      <w:r>
        <w:lastRenderedPageBreak/>
        <w:t>Already have policy and want to see how it scores compared to model policies? Check out our rubrics</w:t>
      </w:r>
      <w:r w:rsidR="00DE43C5">
        <w:t xml:space="preserve"> below</w:t>
      </w:r>
      <w:r>
        <w:t xml:space="preserve"> or reach out to </w:t>
      </w:r>
      <w:hyperlink r:id="rId6" w:history="1">
        <w:r w:rsidRPr="00FC5A90">
          <w:rPr>
            <w:rStyle w:val="Hyperlink"/>
          </w:rPr>
          <w:t>DOHTobaccoControl@state.sd.us</w:t>
        </w:r>
      </w:hyperlink>
      <w:r>
        <w:t xml:space="preserve"> </w:t>
      </w:r>
    </w:p>
    <w:p w14:paraId="5CC8AF99" w14:textId="1F02F1EB" w:rsidR="00DE43C5" w:rsidRDefault="00DE43C5" w:rsidP="00DE43C5">
      <w:pPr>
        <w:pStyle w:val="ListParagraph"/>
        <w:numPr>
          <w:ilvl w:val="0"/>
          <w:numId w:val="11"/>
        </w:numPr>
      </w:pPr>
      <w:hyperlink r:id="rId7" w:history="1">
        <w:r w:rsidRPr="00DE43C5">
          <w:rPr>
            <w:rStyle w:val="Hyperlink"/>
          </w:rPr>
          <w:t>Worksite Policy Evaluation Guide</w:t>
        </w:r>
      </w:hyperlink>
    </w:p>
    <w:p w14:paraId="5C26695E" w14:textId="04030474" w:rsidR="00DE43C5" w:rsidRDefault="00DE43C5" w:rsidP="00DE43C5">
      <w:pPr>
        <w:pStyle w:val="ListParagraph"/>
        <w:numPr>
          <w:ilvl w:val="0"/>
          <w:numId w:val="11"/>
        </w:numPr>
      </w:pPr>
      <w:hyperlink r:id="rId8" w:history="1">
        <w:r w:rsidRPr="00DE43C5">
          <w:rPr>
            <w:rStyle w:val="Hyperlink"/>
          </w:rPr>
          <w:t>Rodeo Policy Evaluation Guide</w:t>
        </w:r>
      </w:hyperlink>
    </w:p>
    <w:p w14:paraId="7577C81B" w14:textId="50E939D6" w:rsidR="00DE43C5" w:rsidRDefault="00DE43C5" w:rsidP="00DE43C5">
      <w:pPr>
        <w:pStyle w:val="ListParagraph"/>
        <w:numPr>
          <w:ilvl w:val="0"/>
          <w:numId w:val="11"/>
        </w:numPr>
      </w:pPr>
      <w:hyperlink r:id="rId9" w:history="1">
        <w:r w:rsidRPr="00DE43C5">
          <w:rPr>
            <w:rStyle w:val="Hyperlink"/>
          </w:rPr>
          <w:t>Postsecondary Policy Evaluation Guide</w:t>
        </w:r>
      </w:hyperlink>
    </w:p>
    <w:p w14:paraId="04CFF4FE" w14:textId="75F41D48" w:rsidR="00DE43C5" w:rsidRDefault="00DE43C5" w:rsidP="00DE43C5">
      <w:pPr>
        <w:pStyle w:val="ListParagraph"/>
        <w:numPr>
          <w:ilvl w:val="0"/>
          <w:numId w:val="11"/>
        </w:numPr>
      </w:pPr>
      <w:hyperlink r:id="rId10" w:history="1">
        <w:r w:rsidRPr="00DE43C5">
          <w:rPr>
            <w:rStyle w:val="Hyperlink"/>
          </w:rPr>
          <w:t>Park Policy Evaluation Guide</w:t>
        </w:r>
      </w:hyperlink>
    </w:p>
    <w:p w14:paraId="28496170" w14:textId="1E98B0E2" w:rsidR="00DE43C5" w:rsidRDefault="00DE43C5" w:rsidP="00DE43C5">
      <w:pPr>
        <w:pStyle w:val="ListParagraph"/>
        <w:numPr>
          <w:ilvl w:val="0"/>
          <w:numId w:val="11"/>
        </w:numPr>
      </w:pPr>
      <w:hyperlink r:id="rId11" w:history="1">
        <w:r w:rsidRPr="00DE43C5">
          <w:rPr>
            <w:rStyle w:val="Hyperlink"/>
          </w:rPr>
          <w:t>MUH Policy Evaluation Guide</w:t>
        </w:r>
      </w:hyperlink>
    </w:p>
    <w:p w14:paraId="16FEB98E" w14:textId="5E9F1966" w:rsidR="00DE43C5" w:rsidRDefault="00DE43C5" w:rsidP="00DE43C5">
      <w:pPr>
        <w:pStyle w:val="ListParagraph"/>
        <w:numPr>
          <w:ilvl w:val="0"/>
          <w:numId w:val="11"/>
        </w:numPr>
      </w:pPr>
      <w:hyperlink r:id="rId12" w:history="1">
        <w:r w:rsidRPr="00DE43C5">
          <w:rPr>
            <w:rStyle w:val="Hyperlink"/>
          </w:rPr>
          <w:t>K-12 Policy Evaluation Guide</w:t>
        </w:r>
      </w:hyperlink>
    </w:p>
    <w:p w14:paraId="14B0E248" w14:textId="77777777" w:rsidR="00A1750D" w:rsidRDefault="00A1750D" w:rsidP="00A1750D"/>
    <w:p w14:paraId="60E59E13" w14:textId="311B461B" w:rsidR="00A1750D" w:rsidRPr="00926ECC" w:rsidRDefault="00DE43C5" w:rsidP="00A1750D">
      <w:r>
        <w:rPr>
          <w:noProof/>
        </w:rPr>
        <w:drawing>
          <wp:inline distT="0" distB="0" distL="0" distR="0" wp14:anchorId="7E5D54D8" wp14:editId="4D8BD1B7">
            <wp:extent cx="3639671" cy="3639671"/>
            <wp:effectExtent l="0" t="0" r="5715" b="5715"/>
            <wp:docPr id="113511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13130" name="Picture 11351131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341" cy="36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2866" w14:textId="77777777" w:rsidR="00A1750D" w:rsidRPr="00926ECC" w:rsidRDefault="00A1750D" w:rsidP="00A1750D">
      <w:r w:rsidRPr="00926ECC">
        <w:rPr>
          <w:b/>
          <w:bCs/>
        </w:rPr>
        <w:t>Order free signage and window clings for your campus</w:t>
      </w:r>
      <w:r w:rsidRPr="00926ECC">
        <w:t>.</w:t>
      </w:r>
    </w:p>
    <w:p w14:paraId="4290C7AB" w14:textId="77777777" w:rsidR="00A1750D" w:rsidRPr="00926ECC" w:rsidRDefault="00A1750D" w:rsidP="00A1750D">
      <w:pPr>
        <w:rPr>
          <w:rStyle w:val="Hyperlink"/>
          <w:b/>
          <w:bCs/>
        </w:rPr>
      </w:pPr>
      <w:r w:rsidRPr="00926ECC">
        <w:fldChar w:fldCharType="begin"/>
      </w:r>
      <w:r w:rsidRPr="00926ECC">
        <w:instrText>HYPERLINK "https://quittobaccosd.com/cs/c/?cta_guid=dd88d32d-5660-431f-b384-8aec006cfd52&amp;signature=AAH58kFO2K59xXpxtddLldTpQ7TlonVhJw&amp;utm_referrer=https%3A%2F%2Fquittobaccosd.com%2Fresources%2Fadvocacy-tools%2Fpolicy-support-materials&amp;portal_id=22693255&amp;pageId=95605676566&amp;placement_guid=988db122-d5d0-4dd8-8e28-8876cfc37952&amp;click=03bac8c6-6124-46e9-98fd-53b9257c40a4&amp;redirect_url=APefjpFIK4Y-AT4LZXaA5OESjl4cJzyw8u5fu6FVYJ_3XIargt5v5LTO3PnNdmlg-0KO0TuoDCoyrIqt0J8Ac5F2tTsFhJuATnGIs4CWie22_TGlOaDwKHzaeBauCqx8ci4ZWJOHelbWr8RS7MTo_aXe-UKOt7nOVUAsRZZ-OCtQ4t_FLie1vvpzahD_evCzxE5UbHA3AwPkJhRYptcl2fo-g-SL7maJ0nSrml54JFfKH-X9er8n_FsFJ-01WZPWSzTr4c2M92YOvfsFI7rt5DqBidsZyrXfYG7oV6UTecjPsSGm5SbWSvg&amp;hsutk=36f254227fda4a36d1b255e93d7807a2&amp;canon=https%3A%2F%2Fquittobaccosd.com%2Fresources%2Fadvocacy-tools%2Ftobacco-toolkit%2Fimplementing-tobacco-free-policies&amp;ts=1749663908158&amp;__hstc=51816950.36f254227fda4a36d1b255e93d7807a2.1736192991244.1749480824837.1749663793941.103&amp;__hssc=51816950.5.1749663793941&amp;__hsfp=2583819296&amp;contentType=standard-page" \o "Order Free Signage &amp; Materials" \t "_blank"</w:instrText>
      </w:r>
      <w:r w:rsidRPr="00926ECC">
        <w:fldChar w:fldCharType="separate"/>
      </w:r>
    </w:p>
    <w:p w14:paraId="4748B334" w14:textId="77777777" w:rsidR="00A1750D" w:rsidRPr="00926ECC" w:rsidRDefault="00A1750D" w:rsidP="00A1750D">
      <w:pPr>
        <w:rPr>
          <w:rStyle w:val="Hyperlink"/>
          <w:b/>
          <w:bCs/>
        </w:rPr>
      </w:pPr>
      <w:r w:rsidRPr="00926ECC">
        <w:rPr>
          <w:rStyle w:val="Hyperlink"/>
          <w:b/>
          <w:bCs/>
        </w:rPr>
        <w:t>Order Free Signage &amp; Materials</w:t>
      </w:r>
    </w:p>
    <w:p w14:paraId="15E5ADEA" w14:textId="1F40F55C" w:rsidR="008A383C" w:rsidRDefault="00A1750D" w:rsidP="00A27208">
      <w:r w:rsidRPr="00926ECC">
        <w:fldChar w:fldCharType="end"/>
      </w:r>
    </w:p>
    <w:p w14:paraId="1A118C23" w14:textId="77777777" w:rsidR="008A383C" w:rsidRDefault="008A383C">
      <w:r>
        <w:br w:type="page"/>
      </w:r>
    </w:p>
    <w:p w14:paraId="5A7B2CAB" w14:textId="77777777" w:rsidR="0002031C" w:rsidRPr="000F3C5E" w:rsidRDefault="0002031C" w:rsidP="0002031C">
      <w:pPr>
        <w:jc w:val="center"/>
        <w:rPr>
          <w:b/>
          <w:bCs/>
        </w:rPr>
      </w:pPr>
      <w:r w:rsidRPr="000F3C5E">
        <w:rPr>
          <w:b/>
          <w:bCs/>
        </w:rPr>
        <w:lastRenderedPageBreak/>
        <w:t xml:space="preserve">Benefits </w:t>
      </w:r>
      <w:r>
        <w:rPr>
          <w:b/>
          <w:bCs/>
        </w:rPr>
        <w:t>of School Policies &amp; Engaging Youth</w:t>
      </w:r>
    </w:p>
    <w:p w14:paraId="426D932F" w14:textId="77777777" w:rsidR="0002031C" w:rsidRPr="00926ECC" w:rsidRDefault="0002031C" w:rsidP="0002031C"/>
    <w:p w14:paraId="3FD5F15B" w14:textId="1A194CD2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Benefits of Tobacco-Free Policies in Schools</w:t>
      </w:r>
    </w:p>
    <w:p w14:paraId="1FAA4E6C" w14:textId="77777777" w:rsidR="007E1C88" w:rsidRDefault="007E1C88" w:rsidP="00C90924">
      <w:pPr>
        <w:rPr>
          <w:b/>
          <w:bCs/>
        </w:rPr>
      </w:pPr>
    </w:p>
    <w:p w14:paraId="0D990209" w14:textId="525B9D31" w:rsidR="00C90924" w:rsidRPr="007E1C88" w:rsidRDefault="00C90924" w:rsidP="00C90924">
      <w:r w:rsidRPr="007E1C88">
        <w:t>Schools are more than just educational institutions—they are central to shaping healthy habits in youth. Adopting tobacco-free policies offers multiple benefits:</w:t>
      </w:r>
    </w:p>
    <w:p w14:paraId="41EFBBCE" w14:textId="0CC0DEC7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>Health &amp; Safety</w:t>
      </w:r>
    </w:p>
    <w:p w14:paraId="2504B1F1" w14:textId="77777777" w:rsidR="00C90924" w:rsidRPr="007E1C88" w:rsidRDefault="00C90924" w:rsidP="00C90924">
      <w:pPr>
        <w:numPr>
          <w:ilvl w:val="0"/>
          <w:numId w:val="3"/>
        </w:numPr>
      </w:pPr>
      <w:r w:rsidRPr="007E1C88">
        <w:t>Protects students, staff, and visitors from the harms of secondhand smoke.</w:t>
      </w:r>
    </w:p>
    <w:p w14:paraId="402B37CD" w14:textId="77777777" w:rsidR="00C90924" w:rsidRPr="007E1C88" w:rsidRDefault="00C90924" w:rsidP="00C90924">
      <w:pPr>
        <w:numPr>
          <w:ilvl w:val="0"/>
          <w:numId w:val="3"/>
        </w:numPr>
      </w:pPr>
      <w:r w:rsidRPr="007E1C88">
        <w:t>Reduces the risk of addiction by limiting youth exposure to tobacco.</w:t>
      </w:r>
    </w:p>
    <w:p w14:paraId="550897BA" w14:textId="77777777" w:rsidR="00C90924" w:rsidRPr="007E1C88" w:rsidRDefault="00C90924" w:rsidP="00C90924">
      <w:pPr>
        <w:numPr>
          <w:ilvl w:val="0"/>
          <w:numId w:val="3"/>
        </w:numPr>
      </w:pPr>
      <w:r w:rsidRPr="007E1C88">
        <w:t>Decreases fire hazards caused by smoking materials.</w:t>
      </w:r>
    </w:p>
    <w:p w14:paraId="45B195C2" w14:textId="5E2F3655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Stronger Prevention Messaging</w:t>
      </w:r>
    </w:p>
    <w:p w14:paraId="48CB0F7D" w14:textId="77777777" w:rsidR="00C90924" w:rsidRPr="007E1C88" w:rsidRDefault="00C90924" w:rsidP="00C90924">
      <w:pPr>
        <w:numPr>
          <w:ilvl w:val="0"/>
          <w:numId w:val="4"/>
        </w:numPr>
      </w:pPr>
      <w:r w:rsidRPr="007E1C88">
        <w:t>Reinforces classroom lessons with consistent, real-world anti-tobacco messages.</w:t>
      </w:r>
    </w:p>
    <w:p w14:paraId="311E0A59" w14:textId="77777777" w:rsidR="00C90924" w:rsidRPr="007E1C88" w:rsidRDefault="00C90924" w:rsidP="00C90924">
      <w:pPr>
        <w:numPr>
          <w:ilvl w:val="0"/>
          <w:numId w:val="4"/>
        </w:numPr>
      </w:pPr>
      <w:r w:rsidRPr="007E1C88">
        <w:t>Helps youth understand that tobacco use is not a “normal” behavior.</w:t>
      </w:r>
    </w:p>
    <w:p w14:paraId="687FCD4C" w14:textId="77777777" w:rsidR="00C90924" w:rsidRPr="007E1C88" w:rsidRDefault="00C90924" w:rsidP="00C90924">
      <w:pPr>
        <w:numPr>
          <w:ilvl w:val="0"/>
          <w:numId w:val="4"/>
        </w:numPr>
      </w:pPr>
      <w:r w:rsidRPr="007E1C88">
        <w:t>Offers positive adult role models who lead by example.</w:t>
      </w:r>
    </w:p>
    <w:p w14:paraId="09F3DC11" w14:textId="54444401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Legal &amp; Community Benefits</w:t>
      </w:r>
    </w:p>
    <w:p w14:paraId="6B4E2A86" w14:textId="77777777" w:rsidR="00C90924" w:rsidRPr="007E1C88" w:rsidRDefault="00C90924" w:rsidP="00C90924">
      <w:pPr>
        <w:numPr>
          <w:ilvl w:val="0"/>
          <w:numId w:val="5"/>
        </w:numPr>
      </w:pPr>
      <w:r w:rsidRPr="007E1C88">
        <w:t>Minimizes liability for schools by eliminating tobacco use on campus.</w:t>
      </w:r>
    </w:p>
    <w:p w14:paraId="30C25948" w14:textId="77777777" w:rsidR="00C90924" w:rsidRDefault="00C90924" w:rsidP="00C90924">
      <w:pPr>
        <w:numPr>
          <w:ilvl w:val="0"/>
          <w:numId w:val="5"/>
        </w:numPr>
      </w:pPr>
      <w:r w:rsidRPr="007E1C88">
        <w:t>Fosters a healthy, safe school climate that supports student success and well-being.</w:t>
      </w:r>
    </w:p>
    <w:p w14:paraId="48F6FC59" w14:textId="77777777" w:rsidR="007F02F1" w:rsidRDefault="007F02F1" w:rsidP="007F02F1"/>
    <w:p w14:paraId="7B248B5C" w14:textId="77777777" w:rsidR="007F02F1" w:rsidRPr="007E1C88" w:rsidRDefault="007F02F1" w:rsidP="007F02F1"/>
    <w:p w14:paraId="6975AD98" w14:textId="77777777" w:rsidR="007E1C88" w:rsidRDefault="00904474" w:rsidP="00C90924">
      <w:pPr>
        <w:rPr>
          <w:b/>
          <w:bCs/>
        </w:rPr>
      </w:pPr>
      <w:r>
        <w:rPr>
          <w:b/>
          <w:bCs/>
          <w:noProof/>
        </w:rPr>
        <w:pict w14:anchorId="7839833A">
          <v:rect id="_x0000_i1025" alt="" style="width:468pt;height:.05pt;mso-width-percent:0;mso-height-percent:0;mso-width-percent:0;mso-height-percent:0" o:hralign="center" o:bullet="t" o:hrstd="t" o:hr="t" fillcolor="#a0a0a0" stroked="f"/>
        </w:pict>
      </w:r>
    </w:p>
    <w:p w14:paraId="1DFDBAB2" w14:textId="35C53457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The Power of Youth Engagement</w:t>
      </w:r>
    </w:p>
    <w:p w14:paraId="29EFEE65" w14:textId="77777777" w:rsidR="00C90924" w:rsidRPr="00C62FAB" w:rsidRDefault="00C90924" w:rsidP="00C90924">
      <w:r w:rsidRPr="00C62FAB">
        <w:t>According to the CDC, youth are key allies in the movement toward tobacco-free communities. Their involvement brings unique strengths:</w:t>
      </w:r>
    </w:p>
    <w:p w14:paraId="74996737" w14:textId="2B5551EB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Motivators &amp; Mobilizers</w:t>
      </w:r>
    </w:p>
    <w:p w14:paraId="3C19909B" w14:textId="77777777" w:rsidR="00C90924" w:rsidRPr="00C62FAB" w:rsidRDefault="00C90924" w:rsidP="00C90924">
      <w:pPr>
        <w:numPr>
          <w:ilvl w:val="0"/>
          <w:numId w:val="6"/>
        </w:numPr>
      </w:pPr>
      <w:r w:rsidRPr="00C62FAB">
        <w:t>Youth inspire peers and rally others more effectively than adults.</w:t>
      </w:r>
    </w:p>
    <w:p w14:paraId="3BCD6C3E" w14:textId="77777777" w:rsidR="00C90924" w:rsidRPr="00C62FAB" w:rsidRDefault="00C90924" w:rsidP="00C90924">
      <w:pPr>
        <w:numPr>
          <w:ilvl w:val="0"/>
          <w:numId w:val="6"/>
        </w:numPr>
      </w:pPr>
      <w:r w:rsidRPr="00C62FAB">
        <w:lastRenderedPageBreak/>
        <w:t>Many are personally motivated by family loss, health struggles, or anger at industry manipulation.</w:t>
      </w:r>
    </w:p>
    <w:p w14:paraId="52BE4982" w14:textId="033473E0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Creative &amp; Insightful</w:t>
      </w:r>
    </w:p>
    <w:p w14:paraId="6916E8E6" w14:textId="77777777" w:rsidR="00C90924" w:rsidRPr="00C62FAB" w:rsidRDefault="00C90924" w:rsidP="00C90924">
      <w:pPr>
        <w:numPr>
          <w:ilvl w:val="0"/>
          <w:numId w:val="7"/>
        </w:numPr>
      </w:pPr>
      <w:r w:rsidRPr="00C62FAB">
        <w:t>Youth understand youth—their insights help shape relevant, effective policies.</w:t>
      </w:r>
    </w:p>
    <w:p w14:paraId="2EF1B63E" w14:textId="77777777" w:rsidR="00C90924" w:rsidRPr="00C62FAB" w:rsidRDefault="00C90924" w:rsidP="00C90924">
      <w:pPr>
        <w:numPr>
          <w:ilvl w:val="0"/>
          <w:numId w:val="7"/>
        </w:numPr>
      </w:pPr>
      <w:r w:rsidRPr="00C62FAB">
        <w:t>Their fresh ideas and perspectives add creativity and innovation to outreach and advocacy.</w:t>
      </w:r>
    </w:p>
    <w:p w14:paraId="09E93794" w14:textId="0E4E0124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Effective Advocates</w:t>
      </w:r>
    </w:p>
    <w:p w14:paraId="5305CE14" w14:textId="77777777" w:rsidR="00C90924" w:rsidRPr="00C62FAB" w:rsidRDefault="00C90924" w:rsidP="00C90924">
      <w:pPr>
        <w:numPr>
          <w:ilvl w:val="0"/>
          <w:numId w:val="8"/>
        </w:numPr>
      </w:pPr>
      <w:r w:rsidRPr="00C62FAB">
        <w:t>Young voices get noticed by media and policymakers.</w:t>
      </w:r>
    </w:p>
    <w:p w14:paraId="20BFC0A4" w14:textId="77777777" w:rsidR="00C90924" w:rsidRPr="00C62FAB" w:rsidRDefault="00C90924" w:rsidP="00C90924">
      <w:pPr>
        <w:numPr>
          <w:ilvl w:val="0"/>
          <w:numId w:val="8"/>
        </w:numPr>
      </w:pPr>
      <w:r w:rsidRPr="00C62FAB">
        <w:t>They add authenticity and credibility to campaigns and messages.</w:t>
      </w:r>
    </w:p>
    <w:p w14:paraId="774E1237" w14:textId="618E6E5D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Strategic Allies</w:t>
      </w:r>
    </w:p>
    <w:p w14:paraId="091DC27E" w14:textId="77777777" w:rsidR="00C90924" w:rsidRPr="00C62FAB" w:rsidRDefault="00C90924" w:rsidP="00C90924">
      <w:pPr>
        <w:numPr>
          <w:ilvl w:val="0"/>
          <w:numId w:val="9"/>
        </w:numPr>
      </w:pPr>
      <w:r w:rsidRPr="00C62FAB">
        <w:t>Youth can expose tobacco industry tactics, helping others see through marketing strategies.</w:t>
      </w:r>
    </w:p>
    <w:p w14:paraId="55BB0EA6" w14:textId="77777777" w:rsidR="00C90924" w:rsidRPr="00C62FAB" w:rsidRDefault="00C90924" w:rsidP="00C90924">
      <w:pPr>
        <w:numPr>
          <w:ilvl w:val="0"/>
          <w:numId w:val="9"/>
        </w:numPr>
      </w:pPr>
      <w:r w:rsidRPr="00C62FAB">
        <w:t>They bring energy, passion, and genuine concern to the movement—often volunteering their time to protect their future.</w:t>
      </w:r>
    </w:p>
    <w:p w14:paraId="042DDCF6" w14:textId="2F2C27C9" w:rsidR="00C90924" w:rsidRPr="00C90924" w:rsidRDefault="00C90924" w:rsidP="00C90924">
      <w:pPr>
        <w:rPr>
          <w:b/>
          <w:bCs/>
        </w:rPr>
      </w:pPr>
    </w:p>
    <w:p w14:paraId="6E8276FF" w14:textId="302CBDAD" w:rsidR="00C90924" w:rsidRPr="00C90924" w:rsidRDefault="00C90924" w:rsidP="00C90924">
      <w:pPr>
        <w:rPr>
          <w:b/>
          <w:bCs/>
        </w:rPr>
      </w:pPr>
      <w:r w:rsidRPr="00C90924">
        <w:rPr>
          <w:b/>
          <w:bCs/>
        </w:rPr>
        <w:t xml:space="preserve"> Make a Change – Start with a Plan</w:t>
      </w:r>
    </w:p>
    <w:p w14:paraId="1E1C063B" w14:textId="77777777" w:rsidR="00C90924" w:rsidRPr="00C62FAB" w:rsidRDefault="00C90924" w:rsidP="00C90924">
      <w:r w:rsidRPr="00C62FAB">
        <w:t>Whether you're a student, educator, parent, or community leader—anyone can spark change. Work together to:</w:t>
      </w:r>
    </w:p>
    <w:p w14:paraId="3427C6FF" w14:textId="77777777" w:rsidR="00C90924" w:rsidRPr="00C62FAB" w:rsidRDefault="00C90924" w:rsidP="00C90924">
      <w:pPr>
        <w:numPr>
          <w:ilvl w:val="0"/>
          <w:numId w:val="10"/>
        </w:numPr>
      </w:pPr>
      <w:r w:rsidRPr="00C62FAB">
        <w:t>Implement strong tobacco-free policies in schools</w:t>
      </w:r>
    </w:p>
    <w:p w14:paraId="7509FC00" w14:textId="77777777" w:rsidR="00C90924" w:rsidRPr="00C62FAB" w:rsidRDefault="00C90924" w:rsidP="00C90924">
      <w:pPr>
        <w:numPr>
          <w:ilvl w:val="0"/>
          <w:numId w:val="10"/>
        </w:numPr>
      </w:pPr>
      <w:r w:rsidRPr="00C62FAB">
        <w:t>Engage and empower youth as partners</w:t>
      </w:r>
    </w:p>
    <w:p w14:paraId="1B158443" w14:textId="77777777" w:rsidR="00C90924" w:rsidRPr="00C62FAB" w:rsidRDefault="00C90924" w:rsidP="00C90924">
      <w:pPr>
        <w:numPr>
          <w:ilvl w:val="0"/>
          <w:numId w:val="10"/>
        </w:numPr>
      </w:pPr>
      <w:r w:rsidRPr="00C62FAB">
        <w:t>Promote a healthier, tobacco-free future</w:t>
      </w:r>
    </w:p>
    <w:p w14:paraId="14191A14" w14:textId="77777777" w:rsidR="008A383C" w:rsidRDefault="008A383C" w:rsidP="00C90924"/>
    <w:sectPr w:rsidR="008A3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12C23FF"/>
    <w:multiLevelType w:val="multilevel"/>
    <w:tmpl w:val="53E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376A"/>
    <w:multiLevelType w:val="multilevel"/>
    <w:tmpl w:val="3E9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497D"/>
    <w:multiLevelType w:val="multilevel"/>
    <w:tmpl w:val="F42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248F3"/>
    <w:multiLevelType w:val="multilevel"/>
    <w:tmpl w:val="CC6A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40271"/>
    <w:multiLevelType w:val="multilevel"/>
    <w:tmpl w:val="8E3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C783D"/>
    <w:multiLevelType w:val="multilevel"/>
    <w:tmpl w:val="424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A5216"/>
    <w:multiLevelType w:val="multilevel"/>
    <w:tmpl w:val="98C4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B06E3"/>
    <w:multiLevelType w:val="multilevel"/>
    <w:tmpl w:val="BD1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F6E88"/>
    <w:multiLevelType w:val="hybridMultilevel"/>
    <w:tmpl w:val="49AA62F4"/>
    <w:lvl w:ilvl="0" w:tplc="93E667B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3797F"/>
    <w:multiLevelType w:val="multilevel"/>
    <w:tmpl w:val="955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B4F04"/>
    <w:multiLevelType w:val="multilevel"/>
    <w:tmpl w:val="414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047692">
    <w:abstractNumId w:val="5"/>
  </w:num>
  <w:num w:numId="2" w16cid:durableId="2086805186">
    <w:abstractNumId w:val="0"/>
  </w:num>
  <w:num w:numId="3" w16cid:durableId="967979261">
    <w:abstractNumId w:val="6"/>
  </w:num>
  <w:num w:numId="4" w16cid:durableId="1020282576">
    <w:abstractNumId w:val="1"/>
  </w:num>
  <w:num w:numId="5" w16cid:durableId="578101916">
    <w:abstractNumId w:val="9"/>
  </w:num>
  <w:num w:numId="6" w16cid:durableId="502016744">
    <w:abstractNumId w:val="10"/>
  </w:num>
  <w:num w:numId="7" w16cid:durableId="512648252">
    <w:abstractNumId w:val="7"/>
  </w:num>
  <w:num w:numId="8" w16cid:durableId="597565235">
    <w:abstractNumId w:val="2"/>
  </w:num>
  <w:num w:numId="9" w16cid:durableId="1663121681">
    <w:abstractNumId w:val="4"/>
  </w:num>
  <w:num w:numId="10" w16cid:durableId="1403138810">
    <w:abstractNumId w:val="3"/>
  </w:num>
  <w:num w:numId="11" w16cid:durableId="149942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C8"/>
    <w:rsid w:val="0002031C"/>
    <w:rsid w:val="001263C8"/>
    <w:rsid w:val="00161733"/>
    <w:rsid w:val="00773DE3"/>
    <w:rsid w:val="007E1C88"/>
    <w:rsid w:val="007F02F1"/>
    <w:rsid w:val="008A383C"/>
    <w:rsid w:val="008F496A"/>
    <w:rsid w:val="00904474"/>
    <w:rsid w:val="00A1750D"/>
    <w:rsid w:val="00A27208"/>
    <w:rsid w:val="00A85F94"/>
    <w:rsid w:val="00C3559D"/>
    <w:rsid w:val="00C62FAB"/>
    <w:rsid w:val="00C90924"/>
    <w:rsid w:val="00D6313E"/>
    <w:rsid w:val="00DE43C5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D3F3"/>
  <w15:chartTrackingRefBased/>
  <w15:docId w15:val="{53F3A129-D461-45B6-896E-F98F969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3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208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7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20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75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3C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bergenlindner/Downloads/Rodeo%20Policy%20Evaluation%20Guide.pdf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Users/bergenlindner/Downloads/Worksite%20Policy%20Evaluation%20Guide.pdf" TargetMode="External"/><Relationship Id="rId12" Type="http://schemas.openxmlformats.org/officeDocument/2006/relationships/hyperlink" Target="file:///Users/bergenlindner/Downloads/K-12%20Policy%20Evaluation%20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HTobaccoControl@state.sd.us" TargetMode="External"/><Relationship Id="rId11" Type="http://schemas.openxmlformats.org/officeDocument/2006/relationships/hyperlink" Target="file:///Users/bergenlindner/Downloads/MUH%20Policy%20Evaluation%20Guide.pdf" TargetMode="External"/><Relationship Id="rId5" Type="http://schemas.openxmlformats.org/officeDocument/2006/relationships/hyperlink" Target="file:///Users/bergenlindner/Downloads/Policy%20Implementation%20Guid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Users/bergenlindner/Downloads/Park%20Policy%20Evaluation%20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bergenlindner/Downloads/Postsecondary%20Policy%20Evaluation%20Guid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5059</Characters>
  <Application>Microsoft Office Word</Application>
  <DocSecurity>0</DocSecurity>
  <Lines>42</Lines>
  <Paragraphs>11</Paragraphs>
  <ScaleCrop>false</ScaleCrop>
  <Company>State of South Dakota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Hilary</dc:creator>
  <cp:keywords/>
  <dc:description/>
  <cp:lastModifiedBy>Lexy Bechtel</cp:lastModifiedBy>
  <cp:revision>2</cp:revision>
  <dcterms:created xsi:type="dcterms:W3CDTF">2025-06-29T20:28:00Z</dcterms:created>
  <dcterms:modified xsi:type="dcterms:W3CDTF">2025-06-29T20:28:00Z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2025-06-11T18:16:48Z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6dccb4c4-bde2-412f-8c69-22c8540b1175</vt:lpwstr>
  </property>
  <property fmtid="{D5CDD505-2E9C-101B-9397-08002B2CF9AE}" pid="8" name="MSIP_Label_ec3b1a8e-41ed-4bc7-92d1-0305fbefd661_ContentBits">
    <vt:lpwstr>0</vt:lpwstr>
  </property>
</Properties>
</file>